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A" w:rsidRDefault="001D4BDB" w:rsidP="009D641E">
      <w:pPr>
        <w:spacing w:after="0"/>
        <w:ind w:left="11" w:right="-17" w:hanging="11"/>
      </w:pPr>
      <w:r>
        <w:t xml:space="preserve">En apego a los “Lineamientos para la Promoción y Operación de la Contraloría Social en los </w:t>
      </w:r>
      <w:r w:rsidR="001E2816">
        <w:t>p</w:t>
      </w:r>
      <w:r>
        <w:t>rogramas federales de desarrollo social”, publicados en el Diario oficial de la Federación el 2</w:t>
      </w:r>
      <w:r w:rsidR="00C0191E">
        <w:t>8</w:t>
      </w:r>
      <w:r>
        <w:t xml:space="preserve"> de </w:t>
      </w:r>
      <w:r w:rsidR="00C0191E">
        <w:t xml:space="preserve">Octubre </w:t>
      </w:r>
      <w:r>
        <w:t>de 201</w:t>
      </w:r>
      <w:r w:rsidR="00C0191E">
        <w:t>6</w:t>
      </w:r>
      <w:r>
        <w:t>, y de acuerdo con el esquema de Contraloría Social diseñado para tales fines, la Universidad Autónoma de Nayarit</w:t>
      </w:r>
    </w:p>
    <w:p w:rsidR="009D641E" w:rsidRDefault="009D641E" w:rsidP="009E3E4C">
      <w:pPr>
        <w:spacing w:after="0" w:line="276" w:lineRule="auto"/>
        <w:ind w:left="-6" w:right="-17" w:hanging="11"/>
        <w:jc w:val="left"/>
        <w:rPr>
          <w:b/>
          <w:color w:val="006A9F"/>
        </w:rPr>
      </w:pPr>
    </w:p>
    <w:p w:rsidR="008F69E9" w:rsidRDefault="001D4BDB" w:rsidP="009E3E4C">
      <w:pPr>
        <w:spacing w:after="0" w:line="276" w:lineRule="auto"/>
        <w:ind w:left="-6" w:right="-17" w:hanging="11"/>
        <w:jc w:val="left"/>
        <w:rPr>
          <w:b/>
          <w:color w:val="006A9F"/>
        </w:rPr>
      </w:pPr>
      <w:r>
        <w:rPr>
          <w:b/>
          <w:color w:val="006A9F"/>
        </w:rPr>
        <w:t>CONVOCA:</w:t>
      </w:r>
    </w:p>
    <w:p w:rsidR="0001777A" w:rsidRDefault="001D4BDB" w:rsidP="001E2816">
      <w:pPr>
        <w:spacing w:after="432" w:line="276" w:lineRule="auto"/>
        <w:ind w:left="-5"/>
      </w:pPr>
      <w:r>
        <w:t xml:space="preserve">A todos los beneficiarios del </w:t>
      </w:r>
      <w:r w:rsidR="00054C91" w:rsidRPr="00C43911">
        <w:rPr>
          <w:szCs w:val="24"/>
        </w:rPr>
        <w:t>Programa de Fortalecimiento a la Excelencia Educativa (PROFEXCE)</w:t>
      </w:r>
      <w:r w:rsidR="00054C91">
        <w:rPr>
          <w:szCs w:val="24"/>
        </w:rPr>
        <w:t xml:space="preserve"> </w:t>
      </w:r>
      <w:r>
        <w:t xml:space="preserve">en su ejercicio </w:t>
      </w:r>
      <w:r w:rsidR="002D2267">
        <w:t>2020</w:t>
      </w:r>
      <w:r>
        <w:t xml:space="preserve"> a conformar los Comités de Contraloría Social para cada uno de los proyectos que lo integran.</w:t>
      </w:r>
    </w:p>
    <w:p w:rsidR="0001777A" w:rsidRDefault="001D4BDB" w:rsidP="001E2816">
      <w:pPr>
        <w:spacing w:after="0" w:line="276" w:lineRule="auto"/>
        <w:ind w:left="-6" w:right="-17" w:hanging="11"/>
        <w:jc w:val="left"/>
      </w:pPr>
      <w:r>
        <w:rPr>
          <w:b/>
          <w:color w:val="006A9F"/>
        </w:rPr>
        <w:t>BASES</w:t>
      </w:r>
    </w:p>
    <w:p w:rsidR="0001777A" w:rsidRDefault="001D4BDB" w:rsidP="001E2816">
      <w:pPr>
        <w:spacing w:after="0" w:line="276" w:lineRule="auto"/>
        <w:ind w:left="10" w:right="-17"/>
        <w:jc w:val="left"/>
        <w:rPr>
          <w:b/>
        </w:rPr>
      </w:pPr>
      <w:r>
        <w:rPr>
          <w:b/>
        </w:rPr>
        <w:t>PRIMERA: De la Integració</w:t>
      </w:r>
      <w:r w:rsidRPr="0061699A">
        <w:rPr>
          <w:b/>
        </w:rPr>
        <w:t>n</w:t>
      </w:r>
    </w:p>
    <w:p w:rsidR="0001777A" w:rsidRDefault="001D4BDB" w:rsidP="008F69E9">
      <w:pPr>
        <w:numPr>
          <w:ilvl w:val="0"/>
          <w:numId w:val="1"/>
        </w:numPr>
        <w:spacing w:after="0"/>
        <w:ind w:right="-17" w:hanging="265"/>
      </w:pPr>
      <w:r>
        <w:t xml:space="preserve">Podrán participar los estudiantes, docentes y administrativos que fueron beneficiados por el PFCE </w:t>
      </w:r>
      <w:r w:rsidR="002D2267">
        <w:t>2020</w:t>
      </w:r>
      <w:r>
        <w:t>, en cualquiera de los siguientes proyectos:</w:t>
      </w:r>
    </w:p>
    <w:p w:rsidR="00054C91" w:rsidRDefault="001D4BDB" w:rsidP="00054C91">
      <w:pPr>
        <w:pStyle w:val="Prrafodelista"/>
        <w:numPr>
          <w:ilvl w:val="0"/>
          <w:numId w:val="4"/>
        </w:numPr>
        <w:rPr>
          <w:rFonts w:eastAsia="Times New Roman"/>
          <w:szCs w:val="24"/>
        </w:rPr>
      </w:pPr>
      <w:proofErr w:type="spellStart"/>
      <w:r>
        <w:t>ProGES</w:t>
      </w:r>
      <w:proofErr w:type="spellEnd"/>
      <w:r>
        <w:t xml:space="preserve"> 1. </w:t>
      </w:r>
      <w:r w:rsidR="00054C91" w:rsidRPr="00054C91">
        <w:rPr>
          <w:rFonts w:eastAsia="Times New Roman"/>
          <w:szCs w:val="24"/>
        </w:rPr>
        <w:t xml:space="preserve">Fortalecimiento de la calidad de los programas educativos de la UAN:       Formación integral y socialmente </w:t>
      </w:r>
      <w:proofErr w:type="spellStart"/>
      <w:r w:rsidR="00054C91" w:rsidRPr="00054C91">
        <w:rPr>
          <w:rFonts w:eastAsia="Times New Roman"/>
          <w:szCs w:val="24"/>
        </w:rPr>
        <w:t>responsables</w:t>
      </w:r>
      <w:proofErr w:type="spellEnd"/>
    </w:p>
    <w:p w:rsidR="0001777A" w:rsidRPr="00054C91" w:rsidRDefault="001D4BDB" w:rsidP="00054C91">
      <w:pPr>
        <w:pStyle w:val="Prrafodelista"/>
        <w:numPr>
          <w:ilvl w:val="0"/>
          <w:numId w:val="4"/>
        </w:numPr>
        <w:rPr>
          <w:rFonts w:eastAsia="Times New Roman"/>
          <w:szCs w:val="24"/>
        </w:rPr>
      </w:pPr>
      <w:proofErr w:type="spellStart"/>
      <w:r w:rsidRPr="002661C4">
        <w:t>ProDES</w:t>
      </w:r>
      <w:proofErr w:type="spellEnd"/>
      <w:r w:rsidRPr="002661C4">
        <w:t xml:space="preserve"> 209. </w:t>
      </w:r>
      <w:r w:rsidR="00054C91" w:rsidRPr="00054C91">
        <w:t>Proyecto Integral de la DES de Ciencias de la Salud.</w:t>
      </w:r>
    </w:p>
    <w:p w:rsidR="0001777A" w:rsidRPr="002661C4" w:rsidRDefault="001D4BDB" w:rsidP="00054C91">
      <w:pPr>
        <w:pStyle w:val="Prrafodelista"/>
        <w:numPr>
          <w:ilvl w:val="0"/>
          <w:numId w:val="4"/>
        </w:numPr>
      </w:pPr>
      <w:proofErr w:type="spellStart"/>
      <w:r w:rsidRPr="002661C4">
        <w:t>ProDES</w:t>
      </w:r>
      <w:proofErr w:type="spellEnd"/>
      <w:r w:rsidRPr="002661C4">
        <w:t xml:space="preserve"> 459.</w:t>
      </w:r>
      <w:r w:rsidR="00054C91" w:rsidRPr="00054C91">
        <w:t xml:space="preserve"> Fortalecimiento de la competitividad Académica de los PE de la DES de Ciencias Básicas e Ingenierías</w:t>
      </w:r>
      <w:r w:rsidRPr="002661C4">
        <w:t>.</w:t>
      </w:r>
    </w:p>
    <w:p w:rsidR="0001777A" w:rsidRPr="002661C4" w:rsidRDefault="001D4BDB" w:rsidP="00054C91">
      <w:pPr>
        <w:pStyle w:val="Prrafodelista"/>
        <w:numPr>
          <w:ilvl w:val="0"/>
          <w:numId w:val="4"/>
        </w:numPr>
      </w:pPr>
      <w:proofErr w:type="spellStart"/>
      <w:r w:rsidRPr="002661C4">
        <w:t>ProDES</w:t>
      </w:r>
      <w:proofErr w:type="spellEnd"/>
      <w:r w:rsidRPr="002661C4">
        <w:t xml:space="preserve"> 528. </w:t>
      </w:r>
      <w:r w:rsidR="00054C91" w:rsidRPr="00054C91">
        <w:t>Mejora continua para el logro de la excelencia de los Programas Educativos de la DES de Ciencias Biológico Agropecuarias y Pesqueras de la UAN</w:t>
      </w:r>
    </w:p>
    <w:p w:rsidR="0001777A" w:rsidRPr="002661C4" w:rsidRDefault="001D4BDB" w:rsidP="00054C91">
      <w:pPr>
        <w:pStyle w:val="Prrafodelista"/>
        <w:numPr>
          <w:ilvl w:val="0"/>
          <w:numId w:val="4"/>
        </w:numPr>
      </w:pPr>
      <w:proofErr w:type="spellStart"/>
      <w:r w:rsidRPr="002661C4">
        <w:t>ProDES</w:t>
      </w:r>
      <w:proofErr w:type="spellEnd"/>
      <w:r w:rsidRPr="002661C4">
        <w:t xml:space="preserve"> 529. </w:t>
      </w:r>
      <w:r w:rsidR="00054C91" w:rsidRPr="00054C91">
        <w:t>Fortalecimiento académico de la DES de Ciencias Sociales y Humanidades pertinente a las necesidades institucionales y del entorno.</w:t>
      </w:r>
    </w:p>
    <w:p w:rsidR="009E3E4C" w:rsidRPr="002661C4" w:rsidRDefault="001D4BDB" w:rsidP="00054C91">
      <w:pPr>
        <w:pStyle w:val="Prrafodelista"/>
        <w:numPr>
          <w:ilvl w:val="0"/>
          <w:numId w:val="4"/>
        </w:numPr>
      </w:pPr>
      <w:proofErr w:type="spellStart"/>
      <w:r w:rsidRPr="002661C4">
        <w:t>ProDES</w:t>
      </w:r>
      <w:proofErr w:type="spellEnd"/>
      <w:r w:rsidRPr="002661C4">
        <w:t xml:space="preserve"> 783. </w:t>
      </w:r>
      <w:r w:rsidR="00054C91" w:rsidRPr="00054C91">
        <w:t>Fortalecimiento a la excelencia de los programas educativos de la DES</w:t>
      </w:r>
    </w:p>
    <w:p w:rsidR="0001777A" w:rsidRDefault="001D4BDB" w:rsidP="009D641E">
      <w:pPr>
        <w:numPr>
          <w:ilvl w:val="0"/>
          <w:numId w:val="1"/>
        </w:numPr>
        <w:spacing w:after="0"/>
        <w:ind w:hanging="265"/>
      </w:pPr>
      <w:r>
        <w:t xml:space="preserve">Registrarse </w:t>
      </w:r>
      <w:r w:rsidR="002D2267">
        <w:t>enviando</w:t>
      </w:r>
      <w:r>
        <w:t xml:space="preserve"> identificación oficial y documento probatorio de ser parte integrante de la Universidad Autónoma de Nayarit, </w:t>
      </w:r>
      <w:r w:rsidR="002D2267">
        <w:t xml:space="preserve">al correo </w:t>
      </w:r>
      <w:hyperlink r:id="rId8" w:history="1">
        <w:r w:rsidR="002D2267" w:rsidRPr="008B5C20">
          <w:rPr>
            <w:rStyle w:val="Hipervnculo"/>
          </w:rPr>
          <w:t>contraloria_social@uan.edu.mx</w:t>
        </w:r>
      </w:hyperlink>
      <w:r w:rsidR="002D2267">
        <w:t xml:space="preserve"> </w:t>
      </w:r>
    </w:p>
    <w:p w:rsidR="009D641E" w:rsidRDefault="009D641E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01777A" w:rsidRDefault="001D4BDB" w:rsidP="009D641E">
      <w:pPr>
        <w:spacing w:after="0" w:line="246" w:lineRule="auto"/>
        <w:ind w:left="334"/>
        <w:jc w:val="left"/>
      </w:pPr>
      <w:r>
        <w:rPr>
          <w:b/>
        </w:rPr>
        <w:lastRenderedPageBreak/>
        <w:t>SEGUNDA: Del Propósito</w:t>
      </w:r>
    </w:p>
    <w:p w:rsidR="0001777A" w:rsidRDefault="001D4BDB" w:rsidP="009D641E">
      <w:pPr>
        <w:numPr>
          <w:ilvl w:val="0"/>
          <w:numId w:val="2"/>
        </w:numPr>
        <w:spacing w:after="0"/>
        <w:ind w:left="1134" w:right="508" w:hanging="395"/>
      </w:pPr>
      <w:r>
        <w:t>Los comités estarán conformados por al menos tres personas que cumplan los requisi</w:t>
      </w:r>
      <w:r w:rsidR="008F69E9">
        <w:t>tos citados en la primera parte, quedando excluidos de participar en dicha actividad, todos aquellos que se encuentren relacionados activamente en el ejercicio del recurso.</w:t>
      </w:r>
    </w:p>
    <w:p w:rsidR="0001777A" w:rsidRDefault="001D4BDB" w:rsidP="009D641E">
      <w:pPr>
        <w:numPr>
          <w:ilvl w:val="0"/>
          <w:numId w:val="2"/>
        </w:numPr>
        <w:spacing w:after="0"/>
        <w:ind w:left="1134" w:right="508" w:hanging="395"/>
      </w:pPr>
      <w:r>
        <w:t>Los comités estarán conformados promoviendo la participación igualitaria de hombres y mujeres.</w:t>
      </w:r>
    </w:p>
    <w:p w:rsidR="009D641E" w:rsidRDefault="009D641E" w:rsidP="009D641E">
      <w:pPr>
        <w:spacing w:after="0"/>
        <w:ind w:left="1134" w:right="508" w:firstLine="0"/>
      </w:pPr>
    </w:p>
    <w:p w:rsidR="0001777A" w:rsidRDefault="001D4BDB">
      <w:pPr>
        <w:spacing w:after="92" w:line="246" w:lineRule="auto"/>
        <w:ind w:left="334"/>
        <w:jc w:val="left"/>
      </w:pPr>
      <w:r>
        <w:rPr>
          <w:b/>
        </w:rPr>
        <w:t>TERCERA: De la Actividad</w:t>
      </w:r>
    </w:p>
    <w:p w:rsidR="0001777A" w:rsidRDefault="001D4BDB">
      <w:pPr>
        <w:ind w:left="749" w:right="374"/>
      </w:pPr>
      <w:r>
        <w:t>1. Los Integrantes de los Comité conformados deberán:</w:t>
      </w:r>
    </w:p>
    <w:p w:rsidR="0001777A" w:rsidRDefault="001D4BDB">
      <w:pPr>
        <w:numPr>
          <w:ilvl w:val="1"/>
          <w:numId w:val="3"/>
        </w:numPr>
        <w:ind w:hanging="277"/>
      </w:pPr>
      <w:r>
        <w:t>Difundir las actividades del Comité de Contraloría Social entre la comunidad universitaria</w:t>
      </w:r>
      <w:r w:rsidR="008B12B0">
        <w:t>.</w:t>
      </w:r>
    </w:p>
    <w:p w:rsidR="0001777A" w:rsidRDefault="001D4BDB">
      <w:pPr>
        <w:numPr>
          <w:ilvl w:val="1"/>
          <w:numId w:val="3"/>
        </w:numPr>
        <w:ind w:hanging="277"/>
      </w:pPr>
      <w:r>
        <w:t xml:space="preserve">Dar seguimiento a incidencias cuando se presenten en la aplicación del recurso financiero del </w:t>
      </w:r>
      <w:r w:rsidR="002D2267">
        <w:t>PROFEXCE</w:t>
      </w:r>
    </w:p>
    <w:p w:rsidR="0001777A" w:rsidRDefault="001D4BDB">
      <w:pPr>
        <w:numPr>
          <w:ilvl w:val="1"/>
          <w:numId w:val="3"/>
        </w:numPr>
        <w:spacing w:line="240" w:lineRule="auto"/>
        <w:ind w:hanging="277"/>
      </w:pPr>
      <w:r>
        <w:t>Vigilar y dar seguimiento para que:</w:t>
      </w:r>
    </w:p>
    <w:p w:rsidR="0001777A" w:rsidRDefault="001D4BDB">
      <w:pPr>
        <w:numPr>
          <w:ilvl w:val="2"/>
          <w:numId w:val="1"/>
        </w:numPr>
        <w:ind w:left="1691" w:hanging="151"/>
      </w:pPr>
      <w:r>
        <w:t xml:space="preserve">Se difunda información suficiente, veraz y oportuna </w:t>
      </w:r>
      <w:r w:rsidR="002D2267">
        <w:t>sobre la operación del programa</w:t>
      </w:r>
    </w:p>
    <w:p w:rsidR="0001777A" w:rsidRDefault="001D4BDB">
      <w:pPr>
        <w:numPr>
          <w:ilvl w:val="2"/>
          <w:numId w:val="1"/>
        </w:numPr>
        <w:spacing w:line="240" w:lineRule="auto"/>
        <w:ind w:left="1691" w:hanging="151"/>
      </w:pPr>
      <w:r>
        <w:t>Se cumplan con los periodos establecidos para la entrega del recurso</w:t>
      </w:r>
    </w:p>
    <w:p w:rsidR="0001777A" w:rsidRDefault="001D4BDB">
      <w:pPr>
        <w:numPr>
          <w:ilvl w:val="2"/>
          <w:numId w:val="1"/>
        </w:numPr>
        <w:ind w:left="1691" w:hanging="151"/>
      </w:pPr>
      <w:r>
        <w:t>El programa federal sea aplicado respetando la igualdad entre mujeres y hombres</w:t>
      </w:r>
    </w:p>
    <w:p w:rsidR="001E2816" w:rsidRDefault="001D4BDB" w:rsidP="001E2816">
      <w:pPr>
        <w:numPr>
          <w:ilvl w:val="2"/>
          <w:numId w:val="1"/>
        </w:numPr>
        <w:spacing w:after="0"/>
        <w:ind w:left="1695" w:right="-17" w:hanging="153"/>
      </w:pPr>
      <w:r>
        <w:t>El programa federal no se utilice con fines políticos, electorales, de lucro u otros distintos al objetivo del programa.</w:t>
      </w:r>
    </w:p>
    <w:p w:rsidR="00054C91" w:rsidRDefault="00054C91" w:rsidP="00054C91">
      <w:pPr>
        <w:spacing w:after="0"/>
        <w:ind w:right="-17"/>
      </w:pPr>
    </w:p>
    <w:p w:rsidR="00054C91" w:rsidRDefault="00054C91" w:rsidP="00054C91">
      <w:pPr>
        <w:spacing w:after="0"/>
        <w:ind w:right="-17"/>
      </w:pPr>
      <w:r>
        <w:t xml:space="preserve">La recepción de documentos del interesado será a partir del día 25 de Noviembre hasta el </w:t>
      </w:r>
      <w:proofErr w:type="spellStart"/>
      <w:r>
        <w:t>dia</w:t>
      </w:r>
      <w:proofErr w:type="spellEnd"/>
      <w:r>
        <w:t xml:space="preserve"> 30 de noviembre, para la conformación del comité.</w:t>
      </w:r>
      <w:bookmarkStart w:id="0" w:name="_GoBack"/>
      <w:bookmarkEnd w:id="0"/>
    </w:p>
    <w:p w:rsidR="001E2816" w:rsidRDefault="001E2816" w:rsidP="001E2816">
      <w:pPr>
        <w:spacing w:after="0"/>
        <w:ind w:left="1004" w:right="-17" w:firstLine="0"/>
      </w:pPr>
    </w:p>
    <w:p w:rsidR="001E2816" w:rsidRDefault="001E2816" w:rsidP="008B12B0">
      <w:pPr>
        <w:spacing w:after="0" w:line="240" w:lineRule="auto"/>
        <w:ind w:left="351" w:right="-17" w:hanging="11"/>
        <w:rPr>
          <w:b/>
        </w:rPr>
      </w:pPr>
    </w:p>
    <w:p w:rsidR="0001777A" w:rsidRPr="008B12B0" w:rsidRDefault="001D4BDB" w:rsidP="008B12B0">
      <w:pPr>
        <w:spacing w:after="0" w:line="240" w:lineRule="auto"/>
        <w:ind w:left="351" w:right="-17" w:hanging="11"/>
        <w:rPr>
          <w:b/>
        </w:rPr>
      </w:pPr>
      <w:r w:rsidRPr="008B12B0">
        <w:rPr>
          <w:b/>
        </w:rPr>
        <w:t>Atentamente</w:t>
      </w:r>
    </w:p>
    <w:p w:rsidR="008B12B0" w:rsidRPr="008B12B0" w:rsidRDefault="008B12B0" w:rsidP="008B12B0">
      <w:pPr>
        <w:spacing w:after="0" w:line="240" w:lineRule="auto"/>
        <w:ind w:left="351" w:right="-17" w:hanging="11"/>
        <w:rPr>
          <w:vanish/>
          <w:specVanish/>
        </w:rPr>
      </w:pPr>
    </w:p>
    <w:p w:rsidR="00B65DC3" w:rsidRDefault="001D4BDB" w:rsidP="008B12B0">
      <w:pPr>
        <w:spacing w:after="0"/>
        <w:ind w:left="351" w:right="-17" w:hanging="11"/>
      </w:pPr>
      <w:r>
        <w:t xml:space="preserve">Contraloría Social </w:t>
      </w:r>
    </w:p>
    <w:p w:rsidR="008B12B0" w:rsidRDefault="00B65DC3" w:rsidP="008B12B0">
      <w:pPr>
        <w:spacing w:after="0"/>
        <w:ind w:left="351" w:right="-17" w:hanging="11"/>
      </w:pPr>
      <w:r>
        <w:t>U</w:t>
      </w:r>
      <w:r w:rsidR="001D4BDB">
        <w:t>niversidad Autónoma de Nayarit</w:t>
      </w:r>
    </w:p>
    <w:p w:rsidR="0001777A" w:rsidRDefault="001D4BDB" w:rsidP="008B12B0">
      <w:pPr>
        <w:spacing w:after="0"/>
        <w:ind w:left="351" w:right="-17" w:hanging="11"/>
      </w:pPr>
      <w:r>
        <w:t>Teléfon</w:t>
      </w:r>
      <w:r w:rsidR="008B12B0">
        <w:t>o:</w:t>
      </w:r>
      <w:r>
        <w:t xml:space="preserve"> </w:t>
      </w:r>
      <w:r w:rsidR="009E3E4C">
        <w:t>01(311)</w:t>
      </w:r>
      <w:r>
        <w:t>213</w:t>
      </w:r>
      <w:r w:rsidR="008B12B0">
        <w:t>-</w:t>
      </w:r>
      <w:r>
        <w:t>43</w:t>
      </w:r>
      <w:r w:rsidR="008B12B0">
        <w:t>-</w:t>
      </w:r>
      <w:r>
        <w:t>46</w:t>
      </w:r>
    </w:p>
    <w:p w:rsidR="0001777A" w:rsidRDefault="001D4BDB" w:rsidP="008B12B0">
      <w:pPr>
        <w:spacing w:after="0"/>
        <w:ind w:left="351" w:right="-17" w:hanging="11"/>
      </w:pPr>
      <w:r>
        <w:t>Correo</w:t>
      </w:r>
      <w:r w:rsidR="008B12B0">
        <w:t>:</w:t>
      </w:r>
      <w:r>
        <w:t xml:space="preserve"> contraloria_social@uan.edu.mx</w:t>
      </w:r>
    </w:p>
    <w:sectPr w:rsidR="0001777A" w:rsidSect="009D641E">
      <w:headerReference w:type="default" r:id="rId9"/>
      <w:pgSz w:w="12240" w:h="15840"/>
      <w:pgMar w:top="2552" w:right="758" w:bottom="696" w:left="8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2E" w:rsidRDefault="001D182E" w:rsidP="00E26F2D">
      <w:pPr>
        <w:spacing w:after="0" w:line="240" w:lineRule="auto"/>
      </w:pPr>
      <w:r>
        <w:separator/>
      </w:r>
    </w:p>
  </w:endnote>
  <w:endnote w:type="continuationSeparator" w:id="0">
    <w:p w:rsidR="001D182E" w:rsidRDefault="001D182E" w:rsidP="00E2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2E" w:rsidRDefault="001D182E" w:rsidP="00E26F2D">
      <w:pPr>
        <w:spacing w:after="0" w:line="240" w:lineRule="auto"/>
      </w:pPr>
      <w:r>
        <w:separator/>
      </w:r>
    </w:p>
  </w:footnote>
  <w:footnote w:type="continuationSeparator" w:id="0">
    <w:p w:rsidR="001D182E" w:rsidRDefault="001D182E" w:rsidP="00E2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4C" w:rsidRPr="002D78C0" w:rsidRDefault="009E3E4C" w:rsidP="002D78C0">
    <w:pPr>
      <w:spacing w:after="0" w:line="247" w:lineRule="auto"/>
      <w:ind w:left="-5551" w:right="0" w:hanging="11"/>
      <w:jc w:val="right"/>
      <w:rPr>
        <w:sz w:val="30"/>
        <w:szCs w:val="30"/>
      </w:rPr>
    </w:pPr>
    <w:r w:rsidRPr="002D78C0">
      <w:rPr>
        <w:noProof/>
        <w:sz w:val="30"/>
        <w:szCs w:val="30"/>
      </w:rPr>
      <w:drawing>
        <wp:anchor distT="0" distB="0" distL="114300" distR="114300" simplePos="0" relativeHeight="251659264" behindDoc="0" locked="0" layoutInCell="1" allowOverlap="0" wp14:anchorId="2F2FA673" wp14:editId="52116963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2667000" cy="676275"/>
          <wp:effectExtent l="0" t="0" r="0" b="9525"/>
          <wp:wrapSquare wrapText="bothSides"/>
          <wp:docPr id="24" name="Picture 2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" name="Picture 29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8C0">
      <w:rPr>
        <w:b/>
        <w:color w:val="006A9F"/>
        <w:sz w:val="30"/>
        <w:szCs w:val="30"/>
      </w:rPr>
      <w:t xml:space="preserve">Conformación de Comités de </w:t>
    </w:r>
  </w:p>
  <w:p w:rsidR="009E3E4C" w:rsidRPr="002D78C0" w:rsidRDefault="009E3E4C" w:rsidP="002D78C0">
    <w:pPr>
      <w:spacing w:after="0" w:line="247" w:lineRule="auto"/>
      <w:ind w:left="-5551" w:right="0" w:hanging="11"/>
      <w:jc w:val="right"/>
      <w:rPr>
        <w:sz w:val="30"/>
        <w:szCs w:val="30"/>
      </w:rPr>
    </w:pPr>
    <w:r w:rsidRPr="002D78C0">
      <w:rPr>
        <w:b/>
        <w:color w:val="006A9F"/>
        <w:sz w:val="30"/>
        <w:szCs w:val="30"/>
      </w:rPr>
      <w:t>Contraloría Social</w:t>
    </w:r>
  </w:p>
  <w:p w:rsidR="009E3E4C" w:rsidRPr="002D78C0" w:rsidRDefault="009E3E4C" w:rsidP="002D78C0">
    <w:pPr>
      <w:spacing w:after="0" w:line="247" w:lineRule="auto"/>
      <w:ind w:left="-5551" w:right="0" w:hanging="11"/>
      <w:jc w:val="right"/>
      <w:rPr>
        <w:sz w:val="30"/>
        <w:szCs w:val="30"/>
      </w:rPr>
    </w:pPr>
    <w:proofErr w:type="gramStart"/>
    <w:r w:rsidRPr="002D78C0">
      <w:rPr>
        <w:b/>
        <w:color w:val="006A9F"/>
        <w:sz w:val="30"/>
        <w:szCs w:val="30"/>
      </w:rPr>
      <w:t>para</w:t>
    </w:r>
    <w:proofErr w:type="gramEnd"/>
    <w:r w:rsidRPr="002D78C0">
      <w:rPr>
        <w:b/>
        <w:color w:val="006A9F"/>
        <w:sz w:val="30"/>
        <w:szCs w:val="30"/>
      </w:rPr>
      <w:t xml:space="preserve"> los proyectos beneficiarios </w:t>
    </w:r>
  </w:p>
  <w:p w:rsidR="009E3E4C" w:rsidRDefault="009E3E4C" w:rsidP="002D78C0">
    <w:pPr>
      <w:spacing w:after="0" w:line="247" w:lineRule="auto"/>
      <w:ind w:left="-5551" w:right="0" w:hanging="11"/>
      <w:jc w:val="right"/>
    </w:pPr>
    <w:proofErr w:type="gramStart"/>
    <w:r w:rsidRPr="002D78C0">
      <w:rPr>
        <w:b/>
        <w:color w:val="006A9F"/>
        <w:sz w:val="30"/>
        <w:szCs w:val="30"/>
      </w:rPr>
      <w:t>del</w:t>
    </w:r>
    <w:proofErr w:type="gramEnd"/>
    <w:r w:rsidRPr="002D78C0">
      <w:rPr>
        <w:b/>
        <w:color w:val="006A9F"/>
        <w:sz w:val="30"/>
        <w:szCs w:val="30"/>
      </w:rPr>
      <w:t xml:space="preserve"> P</w:t>
    </w:r>
    <w:r w:rsidR="002D2267">
      <w:rPr>
        <w:b/>
        <w:color w:val="006A9F"/>
        <w:sz w:val="30"/>
        <w:szCs w:val="30"/>
      </w:rPr>
      <w:t>ROFEXCE</w:t>
    </w:r>
    <w:r w:rsidRPr="002D78C0">
      <w:rPr>
        <w:b/>
        <w:color w:val="006A9F"/>
        <w:sz w:val="30"/>
        <w:szCs w:val="30"/>
      </w:rPr>
      <w:t xml:space="preserve"> </w:t>
    </w:r>
    <w:r w:rsidR="002D2267">
      <w:rPr>
        <w:b/>
        <w:color w:val="006A9F"/>
        <w:sz w:val="30"/>
        <w:szCs w:val="3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4CF"/>
    <w:multiLevelType w:val="hybridMultilevel"/>
    <w:tmpl w:val="EFA8832C"/>
    <w:lvl w:ilvl="0" w:tplc="976A6BC6">
      <w:start w:val="1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A8A50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42738">
      <w:start w:val="1"/>
      <w:numFmt w:val="bullet"/>
      <w:lvlText w:val="•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CBD2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E0A8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4ADD2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698E0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46020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EA3CA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60CC0"/>
    <w:multiLevelType w:val="hybridMultilevel"/>
    <w:tmpl w:val="931C3E16"/>
    <w:lvl w:ilvl="0" w:tplc="1AEAF63C">
      <w:start w:val="1"/>
      <w:numFmt w:val="decimal"/>
      <w:lvlText w:val="%1.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68676">
      <w:start w:val="1"/>
      <w:numFmt w:val="lowerLetter"/>
      <w:lvlText w:val="%2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28654">
      <w:start w:val="1"/>
      <w:numFmt w:val="lowerRoman"/>
      <w:lvlText w:val="%3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C6504">
      <w:start w:val="1"/>
      <w:numFmt w:val="decimal"/>
      <w:lvlText w:val="%4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6F934">
      <w:start w:val="1"/>
      <w:numFmt w:val="lowerLetter"/>
      <w:lvlText w:val="%5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21B3E">
      <w:start w:val="1"/>
      <w:numFmt w:val="lowerRoman"/>
      <w:lvlText w:val="%6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2F19E">
      <w:start w:val="1"/>
      <w:numFmt w:val="decimal"/>
      <w:lvlText w:val="%7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CBAC6">
      <w:start w:val="1"/>
      <w:numFmt w:val="lowerLetter"/>
      <w:lvlText w:val="%8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CC3B8">
      <w:start w:val="1"/>
      <w:numFmt w:val="lowerRoman"/>
      <w:lvlText w:val="%9"/>
      <w:lvlJc w:val="left"/>
      <w:pPr>
        <w:ind w:left="6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D21219"/>
    <w:multiLevelType w:val="hybridMultilevel"/>
    <w:tmpl w:val="7250DB16"/>
    <w:lvl w:ilvl="0" w:tplc="080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">
    <w:nsid w:val="7EBB262E"/>
    <w:multiLevelType w:val="hybridMultilevel"/>
    <w:tmpl w:val="F056CA16"/>
    <w:lvl w:ilvl="0" w:tplc="48B6BB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67738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EE02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2265E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C1460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A9C54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2D2B8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E7D6C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84D52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7A"/>
    <w:rsid w:val="0001777A"/>
    <w:rsid w:val="00024E59"/>
    <w:rsid w:val="00054C91"/>
    <w:rsid w:val="000F4A08"/>
    <w:rsid w:val="001435F0"/>
    <w:rsid w:val="001D182E"/>
    <w:rsid w:val="001D4BDB"/>
    <w:rsid w:val="001E2816"/>
    <w:rsid w:val="002661C4"/>
    <w:rsid w:val="002C3413"/>
    <w:rsid w:val="002D2267"/>
    <w:rsid w:val="002D239B"/>
    <w:rsid w:val="002D78C0"/>
    <w:rsid w:val="003E1BA7"/>
    <w:rsid w:val="004252CD"/>
    <w:rsid w:val="0060287E"/>
    <w:rsid w:val="0061699A"/>
    <w:rsid w:val="007837BB"/>
    <w:rsid w:val="008B12B0"/>
    <w:rsid w:val="008F69E9"/>
    <w:rsid w:val="009922B2"/>
    <w:rsid w:val="009D641E"/>
    <w:rsid w:val="009E3E4C"/>
    <w:rsid w:val="00AB5D20"/>
    <w:rsid w:val="00B65DC3"/>
    <w:rsid w:val="00C0191E"/>
    <w:rsid w:val="00C41CCD"/>
    <w:rsid w:val="00CD40FA"/>
    <w:rsid w:val="00E26F2D"/>
    <w:rsid w:val="00FD579D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3" w:line="288" w:lineRule="auto"/>
      <w:ind w:left="635" w:right="-1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99A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26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F2D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26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F2D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D22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93" w:line="288" w:lineRule="auto"/>
      <w:ind w:left="635" w:right="-1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99A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26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F2D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26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F2D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D22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loria_social@uan.edu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PFCE2016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PFCE2016</dc:title>
  <dc:creator>Usuario</dc:creator>
  <cp:lastModifiedBy>Usuario</cp:lastModifiedBy>
  <cp:revision>2</cp:revision>
  <cp:lastPrinted>2019-07-02T16:33:00Z</cp:lastPrinted>
  <dcterms:created xsi:type="dcterms:W3CDTF">2020-11-18T19:41:00Z</dcterms:created>
  <dcterms:modified xsi:type="dcterms:W3CDTF">2020-11-18T19:41:00Z</dcterms:modified>
</cp:coreProperties>
</file>